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b/>
          <w:sz w:val="32"/>
          <w:szCs w:val="32"/>
        </w:rPr>
      </w:pPr>
      <w:r>
        <w:rPr>
          <w:rFonts w:hint="eastAsia" w:ascii="宋体" w:hAnsi="宋体"/>
          <w:b/>
          <w:sz w:val="32"/>
          <w:szCs w:val="32"/>
        </w:rPr>
        <w:t>附件</w:t>
      </w:r>
      <w:r>
        <w:rPr>
          <w:rFonts w:hint="eastAsia" w:ascii="宋体" w:hAnsi="宋体"/>
          <w:b/>
          <w:sz w:val="32"/>
          <w:szCs w:val="32"/>
          <w:lang w:val="en-US" w:eastAsia="zh-CN"/>
        </w:rPr>
        <w:t>1</w:t>
      </w:r>
      <w:r>
        <w:rPr>
          <w:rFonts w:hint="eastAsia" w:ascii="宋体" w:hAnsi="宋体"/>
          <w:b/>
          <w:sz w:val="32"/>
          <w:szCs w:val="32"/>
        </w:rPr>
        <w:t>：</w:t>
      </w:r>
    </w:p>
    <w:p>
      <w:pPr>
        <w:keepNext w:val="0"/>
        <w:keepLines w:val="0"/>
        <w:pageBreakBefore w:val="0"/>
        <w:kinsoku/>
        <w:wordWrap/>
        <w:overflowPunct/>
        <w:topLinePunct w:val="0"/>
        <w:autoSpaceDE/>
        <w:autoSpaceDN/>
        <w:bidi w:val="0"/>
        <w:adjustRightInd/>
        <w:spacing w:line="360" w:lineRule="auto"/>
        <w:ind w:firstLine="3971" w:firstLineChars="1236"/>
        <w:textAlignment w:val="auto"/>
        <w:rPr>
          <w:rFonts w:ascii="宋体" w:hAnsi="宋体"/>
          <w:b/>
          <w:sz w:val="32"/>
          <w:szCs w:val="24"/>
        </w:rPr>
      </w:pPr>
      <w:r>
        <w:rPr>
          <w:rFonts w:hint="eastAsia" w:ascii="宋体" w:hAnsi="宋体"/>
          <w:b/>
          <w:sz w:val="32"/>
          <w:szCs w:val="24"/>
          <w:lang w:val="en-US" w:eastAsia="zh-CN"/>
        </w:rPr>
        <w:t>培训课程</w:t>
      </w:r>
      <w:r>
        <w:rPr>
          <w:rFonts w:hint="eastAsia" w:ascii="宋体" w:hAnsi="宋体"/>
          <w:b/>
          <w:sz w:val="32"/>
          <w:szCs w:val="24"/>
        </w:rPr>
        <w:t>安排</w:t>
      </w:r>
    </w:p>
    <w:tbl>
      <w:tblPr>
        <w:tblStyle w:val="2"/>
        <w:tblW w:w="10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9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blHeader/>
          <w:jc w:val="center"/>
        </w:trPr>
        <w:tc>
          <w:tcPr>
            <w:tcW w:w="89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cs="Times New Roman"/>
                <w:b/>
                <w:bCs/>
                <w:kern w:val="0"/>
                <w:sz w:val="24"/>
                <w:szCs w:val="24"/>
                <w:lang w:val="en-US" w:eastAsia="zh-CN"/>
              </w:rPr>
              <w:t>序号</w:t>
            </w:r>
          </w:p>
        </w:tc>
        <w:tc>
          <w:tcPr>
            <w:tcW w:w="97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00" w:lineRule="exact"/>
              <w:ind w:firstLine="0" w:firstLineChars="0"/>
              <w:jc w:val="center"/>
              <w:textAlignment w:val="auto"/>
              <w:rPr>
                <w:rFonts w:hint="default" w:ascii="Times New Roman" w:hAnsi="Times New Roman" w:cs="Times New Roman"/>
                <w:b/>
                <w:bCs/>
                <w:kern w:val="0"/>
                <w:sz w:val="24"/>
                <w:szCs w:val="24"/>
              </w:rPr>
            </w:pPr>
            <w:r>
              <w:rPr>
                <w:rFonts w:hint="default" w:ascii="Times New Roman" w:hAnsi="Times New Roman" w:cs="Times New Roman"/>
                <w:b/>
                <w:bCs/>
                <w:kern w:val="0"/>
                <w:sz w:val="24"/>
                <w:szCs w:val="24"/>
              </w:rPr>
              <w:t>专家及内容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9"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rPr>
              <w:t xml:space="preserve"> </w:t>
            </w:r>
            <w:r>
              <w:rPr>
                <w:rFonts w:hint="default" w:ascii="Times New Roman" w:hAnsi="Times New Roman" w:cs="Times New Roman"/>
                <w:kern w:val="0"/>
                <w:sz w:val="22"/>
                <w:szCs w:val="22"/>
                <w:lang w:val="en-US" w:eastAsia="zh-CN"/>
              </w:rPr>
              <w:t>1</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000000" w:themeColor="text1"/>
                <w:kern w:val="0"/>
                <w:sz w:val="22"/>
                <w:szCs w:val="21"/>
                <w14:textFill>
                  <w14:solidFill>
                    <w14:schemeClr w14:val="tx1"/>
                  </w14:solidFill>
                </w14:textFill>
              </w:rPr>
            </w:pPr>
            <w:r>
              <w:rPr>
                <w:rFonts w:hint="default" w:ascii="Times New Roman" w:hAnsi="Times New Roman" w:cs="Times New Roman"/>
                <w:b/>
                <w:bCs/>
                <w:color w:val="FF0000"/>
                <w:kern w:val="0"/>
                <w:sz w:val="22"/>
                <w:szCs w:val="21"/>
              </w:rPr>
              <w:t>◆第一部分  数字化转型实施篇：</w:t>
            </w:r>
            <w:r>
              <w:rPr>
                <w:rFonts w:hint="default" w:ascii="Times New Roman" w:hAnsi="Times New Roman" w:cs="Times New Roman"/>
                <w:b/>
                <w:bCs/>
                <w:color w:val="000000" w:themeColor="text1"/>
                <w:kern w:val="0"/>
                <w:sz w:val="22"/>
                <w:szCs w:val="21"/>
                <w14:textFill>
                  <w14:solidFill>
                    <w14:schemeClr w14:val="tx1"/>
                  </w14:solidFill>
                </w14:textFill>
              </w:rPr>
              <w:t>刘 玲  北京大学</w:t>
            </w:r>
          </w:p>
          <w:p>
            <w:pPr>
              <w:widowControl/>
              <w:snapToGrid w:val="0"/>
              <w:spacing w:line="410" w:lineRule="exact"/>
              <w:ind w:firstLine="440" w:firstLineChars="200"/>
              <w:rPr>
                <w:rFonts w:hint="default" w:ascii="Times New Roman" w:hAnsi="Times New Roman" w:cs="Times New Roman"/>
                <w:color w:val="000000" w:themeColor="text1"/>
                <w:kern w:val="0"/>
                <w:sz w:val="22"/>
                <w:szCs w:val="21"/>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专家介绍】：刘玲，教育学博士，北京大学数字化学习研究中心、国家智能社会治理（教育）特色试验基地研究人员。在教育项目评估、教师教育技术能力培训方面具有丰富经验。主要的研究兴趣包括：混合式学习设计、学习行为分析。参与编著、译著的书籍有《混合式教学成功手册:让课程快速上网》、《实用创意教学活动50种》、《教育项目评估标准：如何评价对教育项目的评估》，作为团队成员获得北京大学教学成果特等奖、一等奖、北京市高等教育教学成果一等奖。</w:t>
            </w:r>
          </w:p>
          <w:p>
            <w:pPr>
              <w:widowControl/>
              <w:snapToGrid w:val="0"/>
              <w:spacing w:line="410" w:lineRule="exact"/>
              <w:ind w:firstLine="440" w:firstLineChars="200"/>
              <w:rPr>
                <w:rFonts w:hint="default" w:ascii="Times New Roman" w:hAnsi="Times New Roman" w:cs="Times New Roman"/>
                <w:color w:val="000000" w:themeColor="text1"/>
                <w:kern w:val="0"/>
                <w:sz w:val="22"/>
                <w:szCs w:val="21"/>
                <w:lang w:eastAsia="zh-CN"/>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【主讲标题】：教育数字化转型与实施</w:t>
            </w:r>
            <w:bookmarkStart w:id="0" w:name="_GoBack"/>
            <w:bookmarkEnd w:id="0"/>
          </w:p>
          <w:p>
            <w:pPr>
              <w:widowControl/>
              <w:snapToGrid w:val="0"/>
              <w:spacing w:line="410" w:lineRule="exact"/>
              <w:ind w:firstLine="440" w:firstLineChars="200"/>
              <w:rPr>
                <w:rFonts w:hint="default" w:ascii="Times New Roman" w:hAnsi="Times New Roman" w:eastAsia="宋体" w:cs="Times New Roman"/>
                <w:color w:val="000000" w:themeColor="text1"/>
                <w:kern w:val="0"/>
                <w:sz w:val="22"/>
                <w:szCs w:val="21"/>
                <w:lang w:eastAsia="zh-CN"/>
                <w14:textFill>
                  <w14:solidFill>
                    <w14:schemeClr w14:val="tx1"/>
                  </w14:solidFill>
                </w14:textFill>
              </w:rPr>
            </w:pPr>
            <w:r>
              <w:rPr>
                <w:rFonts w:hint="default" w:ascii="Times New Roman" w:hAnsi="Times New Roman" w:cs="Times New Roman"/>
                <w:color w:val="000000" w:themeColor="text1"/>
                <w:kern w:val="0"/>
                <w:sz w:val="22"/>
                <w:szCs w:val="21"/>
                <w14:textFill>
                  <w14:solidFill>
                    <w14:schemeClr w14:val="tx1"/>
                  </w14:solidFill>
                </w14:textFill>
              </w:rPr>
              <w:t>【内容简介】：</w:t>
            </w:r>
            <w:r>
              <w:rPr>
                <w:rFonts w:hint="default" w:ascii="Times New Roman" w:hAnsi="Times New Roman" w:cs="Times New Roman"/>
                <w:kern w:val="0"/>
                <w:sz w:val="22"/>
                <w:szCs w:val="21"/>
              </w:rPr>
              <w:t>1.教育数字化转型的内涵</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2.教育数字化的模式及案例</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 xml:space="preserve">3.影响数字化转型的因素 </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4.北京大学教育数字化的实施</w:t>
            </w:r>
            <w:r>
              <w:rPr>
                <w:rFonts w:hint="default" w:ascii="Times New Roman" w:hAnsi="Times New Roman" w:cs="Times New Roman"/>
                <w:kern w:val="0"/>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2</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279" w:lineRule="auto"/>
              <w:ind w:firstLine="442" w:firstLineChars="200"/>
              <w:rPr>
                <w:rFonts w:hint="default" w:ascii="Times New Roman" w:hAnsi="Times New Roman" w:cs="Times New Roman"/>
                <w:kern w:val="0"/>
                <w:sz w:val="24"/>
              </w:rPr>
            </w:pPr>
            <w:r>
              <w:rPr>
                <w:rFonts w:hint="default" w:ascii="Times New Roman" w:hAnsi="Times New Roman" w:cs="Times New Roman"/>
                <w:b/>
                <w:bCs/>
                <w:color w:val="FF0000"/>
                <w:kern w:val="0"/>
                <w:sz w:val="22"/>
                <w:szCs w:val="21"/>
              </w:rPr>
              <w:t>◆第二部分  数字化人工智能篇：</w:t>
            </w:r>
            <w:r>
              <w:rPr>
                <w:rFonts w:hint="default" w:ascii="Times New Roman" w:hAnsi="Times New Roman" w:cs="Times New Roman"/>
                <w:b/>
                <w:bCs/>
                <w:kern w:val="0"/>
                <w:sz w:val="22"/>
                <w:szCs w:val="21"/>
              </w:rPr>
              <w:t>方海光  首都师范大学</w:t>
            </w:r>
          </w:p>
          <w:p>
            <w:pPr>
              <w:widowControl/>
              <w:snapToGrid w:val="0"/>
              <w:spacing w:line="410" w:lineRule="exact"/>
              <w:ind w:firstLine="440" w:firstLineChars="200"/>
              <w:rPr>
                <w:rFonts w:hint="default" w:ascii="Times New Roman" w:hAnsi="Times New Roman" w:cs="Times New Roman"/>
                <w:kern w:val="0"/>
                <w:sz w:val="22"/>
                <w:szCs w:val="21"/>
              </w:rPr>
            </w:pPr>
            <w:r>
              <w:rPr>
                <w:rFonts w:hint="default" w:ascii="Times New Roman" w:hAnsi="Times New Roman" w:cs="Times New Roman"/>
                <w:kern w:val="0"/>
                <w:sz w:val="22"/>
                <w:szCs w:val="21"/>
              </w:rPr>
              <w:t>【专家介绍】：方海光，首都师范大学教育学院教授、博士研究生导师，北京师范大学兼职教授，北京市教育大数据协同创新研究基地主任，教育部数学教育技术应用与创新研究中心主任，教育部新型教与学国家级实验区专家，教育部智慧教育国家级示范区专家</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《教师数字素养》标准主要起草人，首都师范大学远程教育研究所所长、教育技术专业负责人、STEAM教师教育专业负责人，首都师范大学教育学院人工智能教育研究中心副主任、数字化学习实验室主任。</w:t>
            </w:r>
          </w:p>
          <w:p>
            <w:pPr>
              <w:widowControl/>
              <w:snapToGrid w:val="0"/>
              <w:spacing w:line="410" w:lineRule="exact"/>
              <w:ind w:firstLine="440" w:firstLineChars="200"/>
              <w:rPr>
                <w:rFonts w:hint="default" w:ascii="Times New Roman" w:hAnsi="Times New Roman" w:cs="Times New Roman"/>
                <w:kern w:val="0"/>
                <w:sz w:val="22"/>
                <w:szCs w:val="21"/>
              </w:rPr>
            </w:pPr>
            <w:r>
              <w:rPr>
                <w:rFonts w:hint="default" w:ascii="Times New Roman" w:hAnsi="Times New Roman" w:cs="Times New Roman"/>
                <w:kern w:val="0"/>
                <w:sz w:val="22"/>
                <w:szCs w:val="21"/>
              </w:rPr>
              <w:t>【主讲标题】：人工智能技术赋能教育教学方式变革和发展趋势</w:t>
            </w:r>
          </w:p>
          <w:p>
            <w:pPr>
              <w:widowControl/>
              <w:snapToGrid w:val="0"/>
              <w:spacing w:line="410" w:lineRule="exact"/>
              <w:ind w:firstLine="440" w:firstLineChars="200"/>
              <w:rPr>
                <w:rFonts w:hint="default" w:ascii="Times New Roman" w:hAnsi="Times New Roman" w:eastAsia="宋体" w:cs="Times New Roman"/>
                <w:color w:val="000000"/>
                <w:kern w:val="0"/>
                <w:sz w:val="22"/>
                <w:szCs w:val="21"/>
                <w:lang w:eastAsia="zh-CN"/>
              </w:rPr>
            </w:pPr>
            <w:r>
              <w:rPr>
                <w:rFonts w:hint="default" w:ascii="Times New Roman" w:hAnsi="Times New Roman" w:cs="Times New Roman"/>
                <w:kern w:val="0"/>
                <w:sz w:val="22"/>
                <w:szCs w:val="21"/>
              </w:rPr>
              <w:t>【内容简介】：1.人工智能和人工智能教育产业发</w:t>
            </w:r>
            <w:r>
              <w:rPr>
                <w:rFonts w:hint="default" w:ascii="Times New Roman" w:hAnsi="Times New Roman" w:cs="Times New Roman"/>
                <w:kern w:val="0"/>
                <w:sz w:val="22"/>
                <w:szCs w:val="21"/>
                <w:lang w:val="en-US" w:eastAsia="zh-CN"/>
              </w:rPr>
              <w:t>展；</w:t>
            </w:r>
            <w:r>
              <w:rPr>
                <w:rFonts w:hint="default" w:ascii="Times New Roman" w:hAnsi="Times New Roman" w:cs="Times New Roman"/>
                <w:kern w:val="0"/>
                <w:sz w:val="22"/>
                <w:szCs w:val="21"/>
              </w:rPr>
              <w:t>2.中国教育数字化转型政策解析</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3.GPT引发的教学变革思考</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4.人工智能教育应用的系统化方法论</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5.人工智能教育应用及反思</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 xml:space="preserve">          6.人工智能时代的课堂变革路径</w:t>
            </w:r>
            <w:r>
              <w:rPr>
                <w:rFonts w:hint="default" w:ascii="Times New Roman" w:hAnsi="Times New Roman" w:cs="Times New Roman"/>
                <w:kern w:val="0"/>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3</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auto"/>
                <w:kern w:val="0"/>
                <w:sz w:val="22"/>
                <w:szCs w:val="21"/>
              </w:rPr>
            </w:pPr>
            <w:r>
              <w:rPr>
                <w:rFonts w:hint="default" w:ascii="Times New Roman" w:hAnsi="Times New Roman" w:cs="Times New Roman"/>
                <w:b/>
                <w:bCs/>
                <w:color w:val="FF0000"/>
                <w:kern w:val="0"/>
                <w:sz w:val="22"/>
                <w:szCs w:val="21"/>
              </w:rPr>
              <w:t>◆第三部分  数字化教学评价篇：</w:t>
            </w:r>
            <w:r>
              <w:rPr>
                <w:rFonts w:hint="default" w:ascii="Times New Roman" w:hAnsi="Times New Roman" w:cs="Times New Roman"/>
                <w:b/>
                <w:bCs/>
                <w:color w:val="auto"/>
                <w:kern w:val="0"/>
                <w:sz w:val="22"/>
                <w:szCs w:val="21"/>
                <w:lang w:eastAsia="zh-Hans"/>
              </w:rPr>
              <w:t>李青</w:t>
            </w:r>
            <w:r>
              <w:rPr>
                <w:rFonts w:hint="default" w:ascii="Times New Roman" w:hAnsi="Times New Roman" w:cs="Times New Roman"/>
                <w:b/>
                <w:bCs/>
                <w:color w:val="auto"/>
                <w:kern w:val="0"/>
                <w:sz w:val="22"/>
                <w:szCs w:val="21"/>
              </w:rPr>
              <w:t xml:space="preserve">  </w:t>
            </w:r>
            <w:r>
              <w:rPr>
                <w:rFonts w:hint="default" w:ascii="Times New Roman" w:hAnsi="Times New Roman" w:cs="Times New Roman"/>
                <w:b/>
                <w:bCs/>
                <w:color w:val="auto"/>
                <w:kern w:val="0"/>
                <w:sz w:val="22"/>
                <w:szCs w:val="21"/>
                <w:lang w:eastAsia="zh-Hans"/>
              </w:rPr>
              <w:t>北京邮电大学</w:t>
            </w:r>
          </w:p>
          <w:p>
            <w:pPr>
              <w:widowControl/>
              <w:snapToGrid w:val="0"/>
              <w:spacing w:line="410" w:lineRule="exact"/>
              <w:ind w:firstLine="440" w:firstLineChars="200"/>
              <w:rPr>
                <w:rFonts w:hint="default" w:ascii="Times New Roman" w:hAnsi="Times New Roman" w:cs="Times New Roman"/>
                <w:kern w:val="0"/>
                <w:sz w:val="22"/>
                <w:szCs w:val="21"/>
                <w:lang w:eastAsia="zh-Hans"/>
              </w:rPr>
            </w:pPr>
            <w:r>
              <w:rPr>
                <w:rFonts w:hint="default" w:ascii="Times New Roman" w:hAnsi="Times New Roman" w:cs="Times New Roman"/>
                <w:kern w:val="0"/>
                <w:sz w:val="22"/>
                <w:szCs w:val="21"/>
              </w:rPr>
              <w:t>【专家介绍】：</w:t>
            </w:r>
            <w:r>
              <w:rPr>
                <w:rFonts w:hint="default" w:ascii="Times New Roman" w:hAnsi="Times New Roman" w:cs="Times New Roman"/>
                <w:kern w:val="0"/>
                <w:sz w:val="22"/>
                <w:szCs w:val="21"/>
                <w:lang w:eastAsia="zh-Hans"/>
              </w:rPr>
              <w:t>李青，北京邮电大学教授，教育技术研究所副所长，硕士生导师，校学术委员会委员；兼任全国信息技术标准化技术委员会教育技术分技术委员会副秘书长，ISO/IEC JTC1/SC36委员。主要研究方向为智慧教育环境、数据驱动教学和学习技术标准化。近10年来，主持省部级研究课题5项，其他科研课题10多项，主持研制发布国家标准2项，国际标准1项。</w:t>
            </w:r>
          </w:p>
          <w:p>
            <w:pPr>
              <w:widowControl/>
              <w:snapToGrid w:val="0"/>
              <w:spacing w:line="410" w:lineRule="exact"/>
              <w:ind w:firstLine="440" w:firstLineChars="200"/>
              <w:rPr>
                <w:rFonts w:hint="default" w:ascii="Times New Roman" w:hAnsi="Times New Roman" w:cs="Times New Roman"/>
                <w:kern w:val="0"/>
                <w:sz w:val="22"/>
                <w:szCs w:val="21"/>
                <w:lang w:eastAsia="zh-Hans"/>
              </w:rPr>
            </w:pPr>
            <w:r>
              <w:rPr>
                <w:rFonts w:hint="default" w:ascii="Times New Roman" w:hAnsi="Times New Roman" w:cs="Times New Roman"/>
                <w:kern w:val="0"/>
                <w:sz w:val="22"/>
                <w:szCs w:val="21"/>
                <w:lang w:eastAsia="zh-Hans"/>
              </w:rPr>
              <w:t>【主讲标题】：数字化背景下的课堂教学评</w:t>
            </w:r>
            <w:r>
              <w:rPr>
                <w:rFonts w:hint="default" w:ascii="Times New Roman" w:hAnsi="Times New Roman" w:cs="Times New Roman"/>
                <w:kern w:val="0"/>
                <w:sz w:val="22"/>
                <w:szCs w:val="21"/>
              </w:rPr>
              <w:t>估</w:t>
            </w:r>
            <w:r>
              <w:rPr>
                <w:rFonts w:hint="default" w:ascii="Times New Roman" w:hAnsi="Times New Roman" w:cs="Times New Roman"/>
                <w:kern w:val="0"/>
                <w:sz w:val="22"/>
                <w:szCs w:val="21"/>
                <w:lang w:eastAsia="zh-Hans"/>
              </w:rPr>
              <w:t>理论与实践</w:t>
            </w:r>
          </w:p>
          <w:p>
            <w:pPr>
              <w:widowControl/>
              <w:snapToGrid w:val="0"/>
              <w:spacing w:line="410" w:lineRule="exact"/>
              <w:ind w:firstLine="440" w:firstLineChars="200"/>
              <w:rPr>
                <w:rFonts w:hint="default" w:ascii="Times New Roman" w:hAnsi="Times New Roman" w:eastAsia="宋体" w:cs="Times New Roman"/>
                <w:kern w:val="0"/>
                <w:sz w:val="22"/>
                <w:szCs w:val="21"/>
                <w:lang w:eastAsia="zh-CN"/>
              </w:rPr>
            </w:pPr>
            <w:r>
              <w:rPr>
                <w:rFonts w:hint="default" w:ascii="Times New Roman" w:hAnsi="Times New Roman" w:cs="Times New Roman"/>
                <w:kern w:val="0"/>
                <w:sz w:val="22"/>
                <w:szCs w:val="21"/>
              </w:rPr>
              <w:t>【内容简介】：1.教学评估评价的基本概念</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2.数字化背景下的教学评估</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lang w:val="en-US" w:eastAsia="zh-CN"/>
              </w:rPr>
              <w:t>3.</w:t>
            </w:r>
            <w:r>
              <w:rPr>
                <w:rFonts w:hint="default" w:ascii="Times New Roman" w:hAnsi="Times New Roman" w:cs="Times New Roman"/>
                <w:kern w:val="0"/>
                <w:sz w:val="22"/>
                <w:szCs w:val="21"/>
                <w:lang w:eastAsia="zh-Hans"/>
              </w:rPr>
              <w:t>数字化</w:t>
            </w:r>
            <w:r>
              <w:rPr>
                <w:rFonts w:hint="default" w:ascii="Times New Roman" w:hAnsi="Times New Roman" w:cs="Times New Roman"/>
                <w:kern w:val="0"/>
                <w:sz w:val="22"/>
                <w:szCs w:val="21"/>
              </w:rPr>
              <w:t>评估中使用的技术和实践</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4.如何从传统评估方式转换到数字化评估方式</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5.数字化评估中的风险和伦理问题</w:t>
            </w:r>
            <w:r>
              <w:rPr>
                <w:rFonts w:hint="default" w:ascii="Times New Roman" w:hAnsi="Times New Roman" w:cs="Times New Roman"/>
                <w:kern w:val="0"/>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7"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eastAsia="宋体" w:cs="Times New Roman"/>
                <w:kern w:val="0"/>
                <w:sz w:val="22"/>
                <w:szCs w:val="22"/>
                <w:lang w:eastAsia="zh-CN"/>
              </w:rPr>
            </w:pPr>
            <w:r>
              <w:rPr>
                <w:rFonts w:hint="default" w:ascii="Times New Roman" w:hAnsi="Times New Roman" w:cs="Times New Roman"/>
                <w:kern w:val="0"/>
                <w:sz w:val="22"/>
                <w:szCs w:val="22"/>
                <w:lang w:val="en-US" w:eastAsia="zh-CN"/>
              </w:rPr>
              <w:t>4</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ind w:firstLine="442" w:firstLineChars="200"/>
              <w:rPr>
                <w:rFonts w:hint="default" w:ascii="Times New Roman" w:hAnsi="Times New Roman" w:cs="Times New Roman"/>
                <w:b/>
                <w:bCs/>
                <w:color w:val="auto"/>
                <w:kern w:val="0"/>
                <w:sz w:val="22"/>
                <w:szCs w:val="21"/>
              </w:rPr>
            </w:pPr>
            <w:r>
              <w:rPr>
                <w:rFonts w:hint="default" w:ascii="Times New Roman" w:hAnsi="Times New Roman" w:cs="Times New Roman"/>
                <w:b/>
                <w:bCs/>
                <w:color w:val="FF0000"/>
                <w:kern w:val="0"/>
                <w:sz w:val="22"/>
                <w:szCs w:val="21"/>
              </w:rPr>
              <w:t>◆第四部分  数字化教学模式篇：</w:t>
            </w:r>
            <w:r>
              <w:rPr>
                <w:rFonts w:hint="default" w:ascii="Times New Roman" w:hAnsi="Times New Roman" w:cs="Times New Roman"/>
                <w:b/>
                <w:bCs/>
                <w:color w:val="auto"/>
                <w:kern w:val="0"/>
                <w:sz w:val="22"/>
                <w:szCs w:val="21"/>
              </w:rPr>
              <w:t>李鸿飞  华中师范大学</w:t>
            </w:r>
          </w:p>
          <w:p>
            <w:pPr>
              <w:widowControl/>
              <w:snapToGrid w:val="0"/>
              <w:spacing w:line="410" w:lineRule="exact"/>
              <w:ind w:firstLine="440" w:firstLineChars="200"/>
              <w:rPr>
                <w:rFonts w:hint="default" w:ascii="Times New Roman" w:hAnsi="Times New Roman" w:cs="Times New Roman"/>
                <w:kern w:val="0"/>
                <w:sz w:val="22"/>
                <w:szCs w:val="21"/>
                <w:lang w:eastAsia="zh-CN"/>
              </w:rPr>
            </w:pPr>
            <w:r>
              <w:rPr>
                <w:rFonts w:hint="default" w:ascii="Times New Roman" w:hAnsi="Times New Roman" w:cs="Times New Roman"/>
                <w:kern w:val="0"/>
                <w:sz w:val="22"/>
                <w:szCs w:val="21"/>
              </w:rPr>
              <w:t>【专家介绍】：李鸿飞，博士，研究员，湖北省“彩虹学者”，教育部教学信息化与教学方法创新教学指导委员会委员，曾任教育部实验室教学指导委员会委员。主要从事高等教育管理、实验室建设、人事人才、教育信息化等方面管理和研究工作，主编出版实验室安全工作专著一部，曾获国家教学成果奖特等奖、省部级科技进步奖等奖项4项</w:t>
            </w:r>
            <w:r>
              <w:rPr>
                <w:rFonts w:hint="default" w:ascii="Times New Roman" w:hAnsi="Times New Roman" w:cs="Times New Roman"/>
                <w:kern w:val="0"/>
                <w:sz w:val="22"/>
                <w:szCs w:val="21"/>
                <w:lang w:eastAsia="zh-CN"/>
              </w:rPr>
              <w:t>。</w:t>
            </w:r>
          </w:p>
          <w:p>
            <w:pPr>
              <w:widowControl/>
              <w:snapToGrid w:val="0"/>
              <w:spacing w:line="410" w:lineRule="exact"/>
              <w:ind w:firstLine="440" w:firstLineChars="200"/>
              <w:rPr>
                <w:rFonts w:hint="default" w:ascii="Times New Roman" w:hAnsi="Times New Roman" w:cs="Times New Roman"/>
                <w:kern w:val="0"/>
                <w:sz w:val="22"/>
                <w:szCs w:val="21"/>
                <w:lang w:eastAsia="zh-Hans"/>
              </w:rPr>
            </w:pPr>
            <w:r>
              <w:rPr>
                <w:rFonts w:hint="default" w:ascii="Times New Roman" w:hAnsi="Times New Roman" w:cs="Times New Roman"/>
                <w:kern w:val="0"/>
                <w:sz w:val="22"/>
                <w:szCs w:val="21"/>
                <w:lang w:eastAsia="zh-Hans"/>
              </w:rPr>
              <w:t>【主讲标题】：教育数字化转型:高校智慧学习空间构建与教学模式创新实践</w:t>
            </w:r>
          </w:p>
          <w:p>
            <w:pPr>
              <w:widowControl/>
              <w:snapToGrid w:val="0"/>
              <w:spacing w:line="410" w:lineRule="exact"/>
              <w:ind w:firstLine="440" w:firstLineChars="200"/>
              <w:rPr>
                <w:rFonts w:hint="default" w:ascii="Times New Roman" w:hAnsi="Times New Roman" w:eastAsia="宋体" w:cs="Times New Roman"/>
                <w:kern w:val="0"/>
                <w:sz w:val="22"/>
                <w:szCs w:val="21"/>
                <w:lang w:eastAsia="zh-CN"/>
              </w:rPr>
            </w:pPr>
            <w:r>
              <w:rPr>
                <w:rFonts w:hint="default" w:ascii="Times New Roman" w:hAnsi="Times New Roman" w:cs="Times New Roman"/>
                <w:kern w:val="0"/>
                <w:sz w:val="22"/>
                <w:szCs w:val="21"/>
                <w:lang w:eastAsia="zh-Hans"/>
              </w:rPr>
              <w:t>【内容简介】</w:t>
            </w:r>
            <w:r>
              <w:rPr>
                <w:rFonts w:hint="default" w:ascii="Times New Roman" w:hAnsi="Times New Roman" w:cs="Times New Roman"/>
                <w:kern w:val="0"/>
                <w:sz w:val="24"/>
              </w:rPr>
              <w:t>：</w:t>
            </w:r>
            <w:r>
              <w:rPr>
                <w:rFonts w:hint="default" w:ascii="Times New Roman" w:hAnsi="Times New Roman" w:cs="Times New Roman"/>
                <w:kern w:val="0"/>
                <w:sz w:val="22"/>
                <w:szCs w:val="21"/>
              </w:rPr>
              <w:t>1.教育数字化转型与高校教育教学高质量发展</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2.从智慧教室到智慧学习空间构建</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3.从智慧课堂到数据驱动的教学模式创新</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4.思考与展望</w:t>
            </w:r>
            <w:r>
              <w:rPr>
                <w:rFonts w:hint="default" w:ascii="Times New Roman" w:hAnsi="Times New Roman" w:cs="Times New Roman"/>
                <w:kern w:val="0"/>
                <w:sz w:val="22"/>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7" w:hRule="atLeast"/>
          <w:jc w:val="center"/>
        </w:trPr>
        <w:tc>
          <w:tcPr>
            <w:tcW w:w="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10" w:lineRule="exact"/>
              <w:jc w:val="center"/>
              <w:rPr>
                <w:rFonts w:hint="default" w:ascii="Times New Roman" w:hAnsi="Times New Roman" w:cs="Times New Roman"/>
                <w:kern w:val="0"/>
                <w:sz w:val="22"/>
                <w:szCs w:val="22"/>
                <w:lang w:val="en-US" w:eastAsia="zh-CN"/>
              </w:rPr>
            </w:pPr>
            <w:r>
              <w:rPr>
                <w:rFonts w:hint="default" w:ascii="Times New Roman" w:hAnsi="Times New Roman" w:cs="Times New Roman"/>
                <w:kern w:val="0"/>
                <w:sz w:val="22"/>
                <w:szCs w:val="22"/>
                <w:lang w:val="en-US" w:eastAsia="zh-CN"/>
              </w:rPr>
              <w:t>5</w:t>
            </w:r>
          </w:p>
        </w:tc>
        <w:tc>
          <w:tcPr>
            <w:tcW w:w="9765" w:type="dxa"/>
            <w:tcBorders>
              <w:top w:val="single" w:color="auto" w:sz="4" w:space="0"/>
              <w:left w:val="single" w:color="auto" w:sz="4" w:space="0"/>
              <w:bottom w:val="single" w:color="auto" w:sz="4" w:space="0"/>
              <w:right w:val="single" w:color="auto" w:sz="4" w:space="0"/>
            </w:tcBorders>
            <w:vAlign w:val="center"/>
          </w:tcPr>
          <w:p>
            <w:pPr>
              <w:widowControl/>
              <w:numPr>
                <w:ilvl w:val="0"/>
                <w:numId w:val="0"/>
              </w:numPr>
              <w:snapToGrid w:val="0"/>
              <w:spacing w:line="410" w:lineRule="exact"/>
              <w:ind w:firstLine="442" w:firstLineChars="200"/>
              <w:rPr>
                <w:rFonts w:hint="default" w:ascii="Times New Roman" w:hAnsi="Times New Roman" w:cs="Times New Roman"/>
                <w:b/>
                <w:bCs/>
                <w:color w:val="auto"/>
                <w:kern w:val="0"/>
                <w:sz w:val="22"/>
                <w:szCs w:val="21"/>
              </w:rPr>
            </w:pPr>
            <w:r>
              <w:rPr>
                <w:rFonts w:hint="default" w:ascii="Times New Roman" w:hAnsi="Times New Roman" w:cs="Times New Roman"/>
                <w:b/>
                <w:bCs/>
                <w:color w:val="FF0000"/>
                <w:kern w:val="0"/>
                <w:sz w:val="22"/>
                <w:szCs w:val="21"/>
              </w:rPr>
              <w:t>◆第五部分  数字化教学设计篇：</w:t>
            </w:r>
            <w:r>
              <w:rPr>
                <w:rFonts w:hint="default" w:ascii="Times New Roman" w:hAnsi="Times New Roman" w:cs="Times New Roman"/>
                <w:b/>
                <w:bCs/>
                <w:color w:val="auto"/>
                <w:kern w:val="0"/>
                <w:sz w:val="22"/>
                <w:szCs w:val="21"/>
              </w:rPr>
              <w:t>郭建鹏  厦门大学</w:t>
            </w:r>
          </w:p>
          <w:p>
            <w:pPr>
              <w:widowControl/>
              <w:snapToGrid w:val="0"/>
              <w:spacing w:line="410" w:lineRule="exact"/>
              <w:ind w:firstLine="440" w:firstLineChars="200"/>
              <w:rPr>
                <w:rFonts w:hint="default" w:ascii="Times New Roman" w:hAnsi="Times New Roman" w:cs="Times New Roman"/>
                <w:kern w:val="0"/>
                <w:sz w:val="22"/>
                <w:szCs w:val="21"/>
              </w:rPr>
            </w:pPr>
            <w:r>
              <w:rPr>
                <w:rFonts w:hint="default" w:ascii="Times New Roman" w:hAnsi="Times New Roman" w:cs="Times New Roman"/>
                <w:kern w:val="0"/>
                <w:sz w:val="22"/>
                <w:szCs w:val="21"/>
              </w:rPr>
              <w:t>【专家介绍】：郭建鹏，厦门大学教育研究院教授、博士生导师。教育部人文社科重点研究基地厦门大学高等教育发展研究中心副主任，教育心理研究所所长，大学教学研究中心主任。著有《翻转课堂与高校教学创新》、《探寻教与学的科学和方法》等多部著作，担任《中国高等教育评论》副主编，主持多个国家级、部省级课题，获得福建省教学成果奖一等奖、社会科学优秀成果奖在内的多个奖项。</w:t>
            </w:r>
          </w:p>
          <w:p>
            <w:pPr>
              <w:widowControl/>
              <w:snapToGrid w:val="0"/>
              <w:spacing w:line="410" w:lineRule="exact"/>
              <w:ind w:firstLine="440" w:firstLineChars="200"/>
              <w:rPr>
                <w:rFonts w:hint="default" w:ascii="Times New Roman" w:hAnsi="Times New Roman" w:cs="Times New Roman"/>
                <w:kern w:val="0"/>
                <w:sz w:val="22"/>
                <w:szCs w:val="21"/>
                <w:lang w:eastAsia="zh-CN"/>
              </w:rPr>
            </w:pPr>
            <w:r>
              <w:rPr>
                <w:rFonts w:hint="default" w:ascii="Times New Roman" w:hAnsi="Times New Roman" w:cs="Times New Roman"/>
                <w:kern w:val="0"/>
                <w:sz w:val="22"/>
                <w:szCs w:val="21"/>
                <w:lang w:eastAsia="zh-Hans"/>
              </w:rPr>
              <w:t>【主讲标题】：数字化转型背景下大学教学创新设计的理念与实践</w:t>
            </w:r>
          </w:p>
          <w:p>
            <w:pPr>
              <w:widowControl/>
              <w:snapToGrid w:val="0"/>
              <w:spacing w:line="410" w:lineRule="exact"/>
              <w:ind w:firstLine="440" w:firstLineChars="200"/>
              <w:rPr>
                <w:rFonts w:hint="default" w:ascii="Times New Roman" w:hAnsi="Times New Roman" w:cs="Times New Roman"/>
                <w:kern w:val="0"/>
                <w:sz w:val="24"/>
              </w:rPr>
            </w:pPr>
            <w:r>
              <w:rPr>
                <w:rFonts w:hint="default" w:ascii="Times New Roman" w:hAnsi="Times New Roman" w:cs="Times New Roman"/>
                <w:kern w:val="0"/>
                <w:sz w:val="22"/>
                <w:szCs w:val="21"/>
                <w:lang w:eastAsia="zh-Hans"/>
              </w:rPr>
              <w:t>【内容简介】</w:t>
            </w:r>
            <w:r>
              <w:rPr>
                <w:rFonts w:hint="default" w:ascii="Times New Roman" w:hAnsi="Times New Roman" w:cs="Times New Roman"/>
                <w:kern w:val="0"/>
                <w:sz w:val="22"/>
                <w:szCs w:val="21"/>
              </w:rPr>
              <w:t xml:space="preserve">：1.数字化转型对高等教育教学的影响分析 </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2.数字化大学教学设计的理论基础</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3.数字化大学教学设计的规范方法</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4.数字化大学教学设计的创新模式</w:t>
            </w:r>
            <w:r>
              <w:rPr>
                <w:rFonts w:hint="default" w:ascii="Times New Roman" w:hAnsi="Times New Roman" w:cs="Times New Roman"/>
                <w:kern w:val="0"/>
                <w:sz w:val="22"/>
                <w:szCs w:val="21"/>
                <w:lang w:eastAsia="zh-CN"/>
              </w:rPr>
              <w:t>；</w:t>
            </w:r>
            <w:r>
              <w:rPr>
                <w:rFonts w:hint="default" w:ascii="Times New Roman" w:hAnsi="Times New Roman" w:cs="Times New Roman"/>
                <w:kern w:val="0"/>
                <w:sz w:val="22"/>
                <w:szCs w:val="21"/>
              </w:rPr>
              <w:t>5.数字化大学教学设计的案例分析</w:t>
            </w:r>
          </w:p>
        </w:tc>
      </w:tr>
    </w:tbl>
    <w:p>
      <w:pPr>
        <w:rPr>
          <w:sz w:val="20"/>
          <w:szCs w:val="21"/>
        </w:rPr>
      </w:pPr>
    </w:p>
    <w:sectPr>
      <w:pgSz w:w="11906" w:h="16838"/>
      <w:pgMar w:top="476" w:right="1179" w:bottom="42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14E41544"/>
    <w:rsid w:val="109D0B74"/>
    <w:rsid w:val="13743EE8"/>
    <w:rsid w:val="13A52F9A"/>
    <w:rsid w:val="14E41544"/>
    <w:rsid w:val="16BC4F2D"/>
    <w:rsid w:val="1D115292"/>
    <w:rsid w:val="24854DEF"/>
    <w:rsid w:val="2AC73A26"/>
    <w:rsid w:val="34987FD8"/>
    <w:rsid w:val="37B24AB3"/>
    <w:rsid w:val="4BA82FB4"/>
    <w:rsid w:val="67FE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2023-10-30T02:48:00Z</dcterms:created>
  <dc:creator>Sunlight</dc:creator>
  <cp:lastModifiedBy>Sunlight</cp:lastModifiedBy>
  <dcterms:modified xsi:type="dcterms:W3CDTF">2023-12-26T01:23:24Z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76BF20DCAB4A4AD0973A59293EDE4CF5_11</vt:lpwstr>
  </property>
</Properties>
</file>