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b/>
          <w:sz w:val="32"/>
          <w:szCs w:val="32"/>
        </w:rPr>
      </w:pPr>
      <w:r>
        <w:rPr>
          <w:rFonts w:hint="eastAsia" w:ascii="宋体" w:hAnsi="宋体"/>
          <w:b/>
          <w:sz w:val="32"/>
          <w:szCs w:val="32"/>
        </w:rPr>
        <w:t>附件</w:t>
      </w:r>
      <w:r>
        <w:rPr>
          <w:rFonts w:hint="eastAsia" w:ascii="宋体" w:hAnsi="宋体"/>
          <w:b/>
          <w:sz w:val="32"/>
          <w:szCs w:val="32"/>
          <w:lang w:val="en-US" w:eastAsia="zh-CN"/>
        </w:rPr>
        <w:t>1</w:t>
      </w:r>
      <w:r>
        <w:rPr>
          <w:rFonts w:hint="eastAsia" w:ascii="宋体" w:hAnsi="宋体"/>
          <w:b/>
          <w:sz w:val="32"/>
          <w:szCs w:val="32"/>
        </w:rPr>
        <w:t>：</w:t>
      </w:r>
    </w:p>
    <w:p>
      <w:pPr>
        <w:keepNext w:val="0"/>
        <w:keepLines w:val="0"/>
        <w:pageBreakBefore w:val="0"/>
        <w:kinsoku/>
        <w:wordWrap/>
        <w:overflowPunct/>
        <w:topLinePunct w:val="0"/>
        <w:autoSpaceDE/>
        <w:autoSpaceDN/>
        <w:bidi w:val="0"/>
        <w:adjustRightInd/>
        <w:spacing w:line="360" w:lineRule="auto"/>
        <w:ind w:firstLine="3971" w:firstLineChars="1236"/>
        <w:textAlignment w:val="auto"/>
        <w:rPr>
          <w:rFonts w:ascii="宋体" w:hAnsi="宋体"/>
          <w:b/>
          <w:sz w:val="32"/>
          <w:szCs w:val="24"/>
        </w:rPr>
      </w:pPr>
      <w:r>
        <w:rPr>
          <w:rFonts w:hint="eastAsia" w:ascii="宋体" w:hAnsi="宋体"/>
          <w:b/>
          <w:sz w:val="32"/>
          <w:szCs w:val="24"/>
          <w:lang w:val="en-US" w:eastAsia="zh-CN"/>
        </w:rPr>
        <w:t>培训课程</w:t>
      </w:r>
      <w:r>
        <w:rPr>
          <w:rFonts w:hint="eastAsia" w:ascii="宋体" w:hAnsi="宋体"/>
          <w:b/>
          <w:sz w:val="32"/>
          <w:szCs w:val="24"/>
        </w:rPr>
        <w:t>安排</w:t>
      </w:r>
    </w:p>
    <w:tbl>
      <w:tblPr>
        <w:tblStyle w:val="2"/>
        <w:tblW w:w="10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9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cs="Times New Roman"/>
                <w:b/>
                <w:bCs/>
                <w:kern w:val="0"/>
                <w:sz w:val="24"/>
                <w:szCs w:val="24"/>
                <w:lang w:val="en-US" w:eastAsia="zh-CN"/>
              </w:rPr>
              <w:t>序号</w:t>
            </w:r>
          </w:p>
        </w:tc>
        <w:tc>
          <w:tcPr>
            <w:tcW w:w="97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专家及内容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4"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rPr>
              <w:t xml:space="preserve"> </w:t>
            </w:r>
            <w:r>
              <w:rPr>
                <w:rFonts w:hint="default" w:ascii="Times New Roman" w:hAnsi="Times New Roman" w:cs="Times New Roman"/>
                <w:kern w:val="0"/>
                <w:sz w:val="22"/>
                <w:szCs w:val="22"/>
                <w:lang w:val="en-US" w:eastAsia="zh-CN"/>
              </w:rPr>
              <w:t>1</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000000" w:themeColor="text1"/>
                <w:kern w:val="0"/>
                <w:sz w:val="22"/>
                <w:szCs w:val="21"/>
                <w14:textFill>
                  <w14:solidFill>
                    <w14:schemeClr w14:val="tx1"/>
                  </w14:solidFill>
                </w14:textFill>
              </w:rPr>
            </w:pPr>
            <w:r>
              <w:rPr>
                <w:rFonts w:hint="default" w:ascii="Times New Roman" w:hAnsi="Times New Roman" w:cs="Times New Roman"/>
                <w:b/>
                <w:bCs/>
                <w:color w:val="FF0000"/>
                <w:kern w:val="0"/>
                <w:sz w:val="22"/>
                <w:szCs w:val="21"/>
              </w:rPr>
              <w:t>◆第一部分：</w:t>
            </w:r>
            <w:r>
              <w:rPr>
                <w:rFonts w:hint="eastAsia" w:ascii="宋体" w:hAnsi="宋体" w:cs="宋体"/>
                <w:b/>
                <w:bCs/>
                <w:color w:val="000000"/>
                <w:kern w:val="0"/>
                <w:sz w:val="22"/>
                <w:szCs w:val="22"/>
              </w:rPr>
              <w:t>孟桥  东南大学</w:t>
            </w:r>
          </w:p>
          <w:p>
            <w:pPr>
              <w:widowControl/>
              <w:snapToGrid w:val="0"/>
              <w:spacing w:line="380" w:lineRule="exact"/>
              <w:ind w:firstLine="440" w:firstLineChars="200"/>
              <w:rPr>
                <w:rFonts w:hint="default" w:ascii="Times New Roman" w:hAnsi="Times New Roman" w:cs="Times New Roman"/>
                <w:color w:val="000000" w:themeColor="text1"/>
                <w:kern w:val="0"/>
                <w:sz w:val="22"/>
                <w:szCs w:val="21"/>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【专家介绍】：</w:t>
            </w:r>
            <w:r>
              <w:rPr>
                <w:rFonts w:hint="eastAsia" w:ascii="宋体" w:hAnsi="宋体" w:eastAsia="宋体" w:cs="宋体"/>
                <w:color w:val="000000"/>
                <w:kern w:val="0"/>
                <w:sz w:val="22"/>
                <w:szCs w:val="22"/>
              </w:rPr>
              <w:t>孟桥，东南大学信息科学与工程学院教授，博导，江苏省教学名师，教育部工科基础课程教学指导委员会委员，工程专业认证委员会评审专家。长期从事电路信号与系统方面的教学和研究工作，教育部首批虚拟教研室项目“信息工程核心基础课程群虚拟教研室”负责人，获得过包括国家科技进步二等奖、国家教学成果二等奖在内的多项成果。</w:t>
            </w:r>
          </w:p>
          <w:p>
            <w:pPr>
              <w:widowControl/>
              <w:snapToGrid w:val="0"/>
              <w:spacing w:line="380" w:lineRule="exact"/>
              <w:ind w:firstLine="440" w:firstLineChars="200"/>
              <w:rPr>
                <w:rFonts w:hint="default" w:ascii="Times New Roman" w:hAnsi="Times New Roman" w:cs="Times New Roman"/>
                <w:color w:val="000000" w:themeColor="text1"/>
                <w:kern w:val="0"/>
                <w:sz w:val="22"/>
                <w:szCs w:val="21"/>
                <w:lang w:eastAsia="zh-CN"/>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【主讲标题】：</w:t>
            </w:r>
            <w:r>
              <w:rPr>
                <w:rFonts w:hint="eastAsia" w:ascii="宋体" w:hAnsi="宋体" w:cs="宋体"/>
                <w:color w:val="000000"/>
                <w:kern w:val="0"/>
                <w:sz w:val="22"/>
                <w:szCs w:val="22"/>
              </w:rPr>
              <w:t>面向学生需求的知识图谱以及线上平台的建设</w:t>
            </w:r>
          </w:p>
          <w:p>
            <w:pPr>
              <w:widowControl/>
              <w:snapToGrid w:val="0"/>
              <w:spacing w:line="380" w:lineRule="exact"/>
              <w:ind w:firstLine="440" w:firstLineChars="200"/>
              <w:rPr>
                <w:rFonts w:hint="default" w:ascii="Times New Roman" w:hAnsi="Times New Roman" w:eastAsia="宋体" w:cs="Times New Roman"/>
                <w:color w:val="000000" w:themeColor="text1"/>
                <w:kern w:val="0"/>
                <w:sz w:val="22"/>
                <w:szCs w:val="21"/>
                <w:lang w:eastAsia="zh-CN"/>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【内容简介】：</w:t>
            </w:r>
            <w:r>
              <w:rPr>
                <w:rFonts w:hint="default" w:ascii="Times New Roman" w:hAnsi="Times New Roman" w:eastAsia="宋体" w:cs="Times New Roman"/>
                <w:color w:val="000000"/>
                <w:kern w:val="0"/>
                <w:sz w:val="22"/>
                <w:szCs w:val="22"/>
              </w:rPr>
              <w:t>1.知识图谱在教学中有什么用</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2.</w:t>
            </w:r>
            <w:r>
              <w:rPr>
                <w:rFonts w:hint="default" w:ascii="Times New Roman" w:hAnsi="Times New Roman" w:eastAsia="宋体" w:cs="Times New Roman"/>
                <w:color w:val="000000"/>
                <w:kern w:val="0"/>
                <w:sz w:val="22"/>
                <w:szCs w:val="22"/>
              </w:rPr>
              <w:t>如何建设用于教学的知识图谱</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3.</w:t>
            </w:r>
            <w:r>
              <w:rPr>
                <w:rFonts w:hint="default" w:ascii="Times New Roman" w:hAnsi="Times New Roman" w:eastAsia="宋体" w:cs="Times New Roman"/>
                <w:color w:val="000000"/>
                <w:kern w:val="0"/>
                <w:sz w:val="22"/>
                <w:szCs w:val="22"/>
              </w:rPr>
              <w:t>面向学生需求的知识图谱平台</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4.</w:t>
            </w:r>
            <w:r>
              <w:rPr>
                <w:rFonts w:hint="default" w:ascii="Times New Roman" w:hAnsi="Times New Roman" w:eastAsia="宋体" w:cs="Times New Roman"/>
                <w:color w:val="000000"/>
                <w:kern w:val="0"/>
                <w:sz w:val="22"/>
                <w:szCs w:val="22"/>
              </w:rPr>
              <w:t>案例分享</w:t>
            </w:r>
            <w:r>
              <w:rPr>
                <w:rFonts w:hint="default" w:ascii="Times New Roman" w:hAnsi="Times New Roman" w:cs="Times New Roman"/>
                <w:kern w:val="0"/>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2</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279" w:lineRule="auto"/>
              <w:ind w:firstLine="442" w:firstLineChars="200"/>
              <w:rPr>
                <w:rFonts w:hint="default" w:ascii="Times New Roman" w:hAnsi="Times New Roman" w:cs="Times New Roman"/>
                <w:kern w:val="0"/>
                <w:sz w:val="24"/>
              </w:rPr>
            </w:pPr>
            <w:r>
              <w:rPr>
                <w:rFonts w:hint="default" w:ascii="Times New Roman" w:hAnsi="Times New Roman" w:cs="Times New Roman"/>
                <w:b/>
                <w:bCs/>
                <w:color w:val="FF0000"/>
                <w:kern w:val="0"/>
                <w:sz w:val="22"/>
                <w:szCs w:val="21"/>
              </w:rPr>
              <w:t>◆第二部分：</w:t>
            </w:r>
            <w:r>
              <w:rPr>
                <w:rFonts w:hint="eastAsia" w:ascii="宋体" w:hAnsi="宋体" w:cs="宋体"/>
                <w:b/>
                <w:bCs/>
                <w:color w:val="000000"/>
                <w:kern w:val="0"/>
                <w:sz w:val="22"/>
                <w:szCs w:val="22"/>
              </w:rPr>
              <w:t>薛庆   北京理工大学</w:t>
            </w:r>
          </w:p>
          <w:p>
            <w:pPr>
              <w:widowControl/>
              <w:snapToGrid w:val="0"/>
              <w:spacing w:line="410" w:lineRule="exact"/>
              <w:ind w:firstLine="440" w:firstLineChars="200"/>
              <w:rPr>
                <w:rFonts w:hint="eastAsia" w:ascii="宋体" w:hAnsi="宋体" w:cs="宋体"/>
                <w:color w:val="000000"/>
                <w:kern w:val="0"/>
                <w:sz w:val="24"/>
              </w:rPr>
            </w:pPr>
            <w:r>
              <w:rPr>
                <w:rFonts w:hint="default" w:ascii="Times New Roman" w:hAnsi="Times New Roman" w:cs="Times New Roman"/>
                <w:kern w:val="0"/>
                <w:sz w:val="22"/>
                <w:szCs w:val="21"/>
              </w:rPr>
              <w:t>【专家介绍】：</w:t>
            </w:r>
            <w:r>
              <w:rPr>
                <w:rFonts w:hint="default" w:ascii="Times New Roman" w:hAnsi="Times New Roman" w:cs="Times New Roman"/>
                <w:color w:val="000000"/>
                <w:kern w:val="0"/>
                <w:sz w:val="22"/>
                <w:szCs w:val="22"/>
              </w:rPr>
              <w:t>薛庆，北京理工大学机械与车辆学院教授，全国模范教师，教育部课程思政教学名师，北京市高等教育教学名师，国家级优秀教学团队核心成员，北京市优秀教师，北京市教育创新标兵，北京市德育先进个人，首都高校育人标兵。主讲教育部课程思政示范课《工程伦理》，北京市优质课《人因工程学》，教育部精品在线课程《C语言程序设计》，曾获国家级优秀教学成果奖、北京市优秀教学成果奖、北京市教书育人最美课堂一等奖等。是中国人类工效学学会理事，教育部高等教育培训入库专家。</w:t>
            </w:r>
            <w:bookmarkStart w:id="0" w:name="_GoBack"/>
            <w:bookmarkEnd w:id="0"/>
          </w:p>
          <w:p>
            <w:pPr>
              <w:widowControl/>
              <w:snapToGrid w:val="0"/>
              <w:spacing w:line="410" w:lineRule="exact"/>
              <w:ind w:firstLine="440" w:firstLineChars="200"/>
              <w:rPr>
                <w:rFonts w:hint="default" w:ascii="Times New Roman" w:hAnsi="Times New Roman" w:cs="Times New Roman"/>
                <w:kern w:val="0"/>
                <w:sz w:val="22"/>
                <w:szCs w:val="21"/>
              </w:rPr>
            </w:pPr>
            <w:r>
              <w:rPr>
                <w:rFonts w:hint="default" w:ascii="Times New Roman" w:hAnsi="Times New Roman" w:cs="Times New Roman"/>
                <w:kern w:val="0"/>
                <w:sz w:val="22"/>
                <w:szCs w:val="21"/>
              </w:rPr>
              <w:t>【主讲标题】：</w:t>
            </w:r>
            <w:r>
              <w:rPr>
                <w:rFonts w:hint="eastAsia" w:ascii="宋体" w:hAnsi="宋体" w:eastAsia="宋体" w:cs="宋体"/>
                <w:color w:val="000000"/>
                <w:kern w:val="0"/>
                <w:sz w:val="22"/>
                <w:szCs w:val="22"/>
              </w:rPr>
              <w:t>基于学科知识体系的专业知识图谱构建与教学创新应用</w:t>
            </w:r>
          </w:p>
          <w:p>
            <w:pPr>
              <w:widowControl/>
              <w:snapToGrid w:val="0"/>
              <w:spacing w:line="380" w:lineRule="exact"/>
              <w:ind w:firstLine="440" w:firstLineChars="200"/>
              <w:rPr>
                <w:rFonts w:hint="default" w:ascii="Times New Roman" w:hAnsi="Times New Roman" w:eastAsia="宋体" w:cs="Times New Roman"/>
                <w:color w:val="000000"/>
                <w:kern w:val="0"/>
                <w:sz w:val="22"/>
                <w:szCs w:val="21"/>
                <w:lang w:eastAsia="zh-CN"/>
              </w:rPr>
            </w:pPr>
            <w:r>
              <w:rPr>
                <w:rFonts w:hint="default" w:ascii="Times New Roman" w:hAnsi="Times New Roman" w:cs="Times New Roman"/>
                <w:kern w:val="0"/>
                <w:sz w:val="22"/>
                <w:szCs w:val="21"/>
              </w:rPr>
              <w:t>【内容简介】：</w:t>
            </w:r>
            <w:r>
              <w:rPr>
                <w:rFonts w:hint="default" w:ascii="Times New Roman" w:hAnsi="Times New Roman" w:eastAsia="宋体" w:cs="Times New Roman"/>
                <w:kern w:val="0"/>
                <w:sz w:val="22"/>
                <w:szCs w:val="22"/>
              </w:rPr>
              <w:t>1.</w:t>
            </w:r>
            <w:r>
              <w:rPr>
                <w:rFonts w:hint="default" w:ascii="Times New Roman" w:hAnsi="Times New Roman" w:eastAsia="宋体" w:cs="Times New Roman"/>
                <w:color w:val="000000"/>
                <w:kern w:val="0"/>
                <w:sz w:val="22"/>
                <w:szCs w:val="22"/>
              </w:rPr>
              <w:t>为什么建知识图谱</w:t>
            </w:r>
            <w:r>
              <w:rPr>
                <w:rFonts w:hint="default" w:ascii="Times New Roman" w:hAnsi="Times New Roman" w:eastAsia="宋体" w:cs="Times New Roman"/>
                <w:kern w:val="0"/>
                <w:sz w:val="22"/>
                <w:szCs w:val="22"/>
                <w:lang w:val="en-US" w:eastAsia="zh-CN"/>
              </w:rPr>
              <w:t>；</w:t>
            </w:r>
            <w:r>
              <w:rPr>
                <w:rFonts w:hint="default" w:ascii="Times New Roman" w:hAnsi="Times New Roman" w:eastAsia="宋体" w:cs="Times New Roman"/>
                <w:kern w:val="0"/>
                <w:sz w:val="22"/>
                <w:szCs w:val="22"/>
              </w:rPr>
              <w:t>2.</w:t>
            </w:r>
            <w:r>
              <w:rPr>
                <w:rFonts w:hint="default" w:ascii="Times New Roman" w:hAnsi="Times New Roman" w:eastAsia="宋体" w:cs="Times New Roman"/>
                <w:color w:val="000000"/>
                <w:kern w:val="0"/>
                <w:sz w:val="22"/>
                <w:szCs w:val="22"/>
              </w:rPr>
              <w:t>知识图谱与教学创新</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3.</w:t>
            </w:r>
            <w:r>
              <w:rPr>
                <w:rFonts w:hint="default" w:ascii="Times New Roman" w:hAnsi="Times New Roman" w:eastAsia="宋体" w:cs="Times New Roman"/>
                <w:color w:val="000000"/>
                <w:kern w:val="0"/>
                <w:sz w:val="22"/>
                <w:szCs w:val="22"/>
              </w:rPr>
              <w:t>知识图谱建设中的问题</w:t>
            </w:r>
            <w:r>
              <w:rPr>
                <w:rFonts w:hint="default" w:ascii="Times New Roman" w:hAnsi="Times New Roman" w:eastAsia="宋体" w:cs="Times New Roman"/>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3</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auto"/>
                <w:kern w:val="0"/>
                <w:sz w:val="22"/>
                <w:szCs w:val="21"/>
              </w:rPr>
            </w:pPr>
            <w:r>
              <w:rPr>
                <w:rFonts w:hint="default" w:ascii="Times New Roman" w:hAnsi="Times New Roman" w:cs="Times New Roman"/>
                <w:b/>
                <w:bCs/>
                <w:color w:val="FF0000"/>
                <w:kern w:val="0"/>
                <w:sz w:val="22"/>
                <w:szCs w:val="21"/>
              </w:rPr>
              <w:t>◆第三部分：</w:t>
            </w:r>
            <w:r>
              <w:rPr>
                <w:rFonts w:hint="eastAsia" w:ascii="宋体" w:hAnsi="宋体" w:cs="宋体"/>
                <w:b/>
                <w:bCs/>
                <w:color w:val="000000"/>
                <w:kern w:val="0"/>
                <w:sz w:val="22"/>
                <w:szCs w:val="22"/>
              </w:rPr>
              <w:t>丁广乾</w:t>
            </w:r>
            <w:r>
              <w:rPr>
                <w:rFonts w:hint="eastAsia" w:ascii="宋体" w:hAnsi="宋体" w:cs="宋体"/>
                <w:b/>
                <w:bCs/>
                <w:color w:val="000000"/>
                <w:kern w:val="0"/>
                <w:sz w:val="22"/>
                <w:szCs w:val="22"/>
                <w:lang w:val="en-US" w:eastAsia="zh-CN"/>
              </w:rPr>
              <w:t xml:space="preserve">   </w:t>
            </w:r>
            <w:r>
              <w:rPr>
                <w:rFonts w:hint="eastAsia" w:ascii="宋体" w:hAnsi="宋体" w:cs="宋体"/>
                <w:b/>
                <w:bCs/>
                <w:color w:val="000000"/>
                <w:kern w:val="0"/>
                <w:sz w:val="22"/>
                <w:szCs w:val="22"/>
              </w:rPr>
              <w:t>济南大学</w:t>
            </w:r>
          </w:p>
          <w:p>
            <w:pPr>
              <w:widowControl/>
              <w:snapToGrid w:val="0"/>
              <w:spacing w:line="410" w:lineRule="exact"/>
              <w:ind w:firstLine="440" w:firstLineChars="200"/>
              <w:rPr>
                <w:rFonts w:hint="default" w:ascii="Times New Roman" w:hAnsi="Times New Roman" w:cs="Times New Roman"/>
                <w:kern w:val="0"/>
                <w:sz w:val="22"/>
                <w:szCs w:val="21"/>
                <w:lang w:eastAsia="zh-Hans"/>
              </w:rPr>
            </w:pPr>
            <w:r>
              <w:rPr>
                <w:rFonts w:hint="default" w:ascii="Times New Roman" w:hAnsi="Times New Roman" w:cs="Times New Roman"/>
                <w:kern w:val="0"/>
                <w:sz w:val="22"/>
                <w:szCs w:val="21"/>
              </w:rPr>
              <w:t>【专家介绍】：</w:t>
            </w:r>
            <w:r>
              <w:rPr>
                <w:rFonts w:hint="eastAsia" w:ascii="宋体" w:hAnsi="宋体" w:cs="宋体"/>
                <w:color w:val="000000"/>
                <w:kern w:val="0"/>
                <w:sz w:val="22"/>
                <w:szCs w:val="22"/>
              </w:rPr>
              <w:t>丁广乾，济南大学副教授、硕士生导师，山东省师资培训专家、省级评审专家；主持山东省课程思政示范课1门、山东省在线开放课程1门、教育部国家高等教育智慧教育平台慕课1门；主持山东省本科教改项目1项；山东省高校青年教师教学比赛一等奖、山东省本科高校课程思政教学比赛一等奖、山东省高校教师教学创新大赛一等奖三大省级教学比赛一等奖大满贯获奖教师，获第三届全国高校教师教学创新大赛二等奖（新工科副高组）。</w:t>
            </w:r>
          </w:p>
          <w:p>
            <w:pPr>
              <w:widowControl/>
              <w:snapToGrid w:val="0"/>
              <w:spacing w:line="410" w:lineRule="exact"/>
              <w:ind w:firstLine="440" w:firstLineChars="200"/>
              <w:rPr>
                <w:rFonts w:hint="default" w:ascii="Times New Roman" w:hAnsi="Times New Roman" w:cs="Times New Roman"/>
                <w:kern w:val="0"/>
                <w:sz w:val="22"/>
                <w:szCs w:val="21"/>
                <w:lang w:eastAsia="zh-Hans"/>
              </w:rPr>
            </w:pPr>
            <w:r>
              <w:rPr>
                <w:rFonts w:hint="default" w:ascii="Times New Roman" w:hAnsi="Times New Roman" w:cs="Times New Roman"/>
                <w:kern w:val="0"/>
                <w:sz w:val="22"/>
                <w:szCs w:val="21"/>
                <w:lang w:eastAsia="zh-Hans"/>
              </w:rPr>
              <w:t>【主讲标题】：</w:t>
            </w:r>
            <w:r>
              <w:rPr>
                <w:rFonts w:hint="eastAsia" w:ascii="宋体" w:hAnsi="宋体" w:cs="宋体"/>
                <w:color w:val="000000"/>
                <w:kern w:val="0"/>
                <w:sz w:val="22"/>
                <w:szCs w:val="22"/>
              </w:rPr>
              <w:t>数字转型下知识图谱赋能新形态课程建设与实践</w:t>
            </w:r>
          </w:p>
          <w:p>
            <w:pPr>
              <w:widowControl/>
              <w:snapToGrid w:val="0"/>
              <w:spacing w:line="380" w:lineRule="exact"/>
              <w:ind w:firstLine="440" w:firstLineChars="200"/>
              <w:rPr>
                <w:rFonts w:hint="default" w:ascii="Times New Roman" w:hAnsi="Times New Roman" w:eastAsia="宋体" w:cs="Times New Roman"/>
                <w:kern w:val="0"/>
                <w:sz w:val="22"/>
                <w:szCs w:val="21"/>
                <w:lang w:eastAsia="zh-CN"/>
              </w:rPr>
            </w:pPr>
            <w:r>
              <w:rPr>
                <w:rFonts w:hint="default" w:ascii="Times New Roman" w:hAnsi="Times New Roman" w:cs="Times New Roman"/>
                <w:kern w:val="0"/>
                <w:sz w:val="22"/>
                <w:szCs w:val="21"/>
              </w:rPr>
              <w:t>【内容简介】：</w:t>
            </w:r>
            <w:r>
              <w:rPr>
                <w:rFonts w:hint="default" w:ascii="Times New Roman" w:hAnsi="Times New Roman" w:eastAsia="宋体" w:cs="Times New Roman"/>
                <w:kern w:val="0"/>
                <w:sz w:val="22"/>
                <w:szCs w:val="22"/>
              </w:rPr>
              <w:t>1.</w:t>
            </w:r>
            <w:r>
              <w:rPr>
                <w:rFonts w:hint="default" w:ascii="Times New Roman" w:hAnsi="Times New Roman" w:eastAsia="宋体" w:cs="Times New Roman"/>
                <w:color w:val="000000"/>
                <w:kern w:val="0"/>
                <w:sz w:val="22"/>
                <w:szCs w:val="22"/>
              </w:rPr>
              <w:t>知识图谱助力教育数字化转型</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2.</w:t>
            </w:r>
            <w:r>
              <w:rPr>
                <w:rFonts w:hint="default" w:ascii="Times New Roman" w:hAnsi="Times New Roman" w:eastAsia="宋体" w:cs="Times New Roman"/>
                <w:color w:val="000000"/>
                <w:kern w:val="0"/>
                <w:sz w:val="22"/>
                <w:szCs w:val="22"/>
              </w:rPr>
              <w:t>知识图谱赋能新形态课程建设</w:t>
            </w:r>
            <w:r>
              <w:rPr>
                <w:rFonts w:hint="default" w:ascii="Times New Roman" w:hAnsi="Times New Roman" w:eastAsia="宋体" w:cs="Times New Roman"/>
                <w:kern w:val="0"/>
                <w:sz w:val="22"/>
                <w:szCs w:val="22"/>
                <w:lang w:val="en-US" w:eastAsia="zh-CN"/>
              </w:rPr>
              <w:t>；3.</w:t>
            </w:r>
            <w:r>
              <w:rPr>
                <w:rFonts w:hint="default" w:ascii="Times New Roman" w:hAnsi="Times New Roman" w:eastAsia="宋体" w:cs="Times New Roman"/>
                <w:color w:val="000000"/>
                <w:kern w:val="0"/>
                <w:sz w:val="22"/>
                <w:szCs w:val="22"/>
              </w:rPr>
              <w:t>知识图谱赋能教学创新与实践</w:t>
            </w:r>
            <w:r>
              <w:rPr>
                <w:rFonts w:hint="default" w:ascii="Times New Roman" w:hAnsi="Times New Roman" w:eastAsia="宋体" w:cs="Times New Roman"/>
                <w:kern w:val="0"/>
                <w:sz w:val="22"/>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7"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4</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auto"/>
                <w:kern w:val="0"/>
                <w:sz w:val="22"/>
                <w:szCs w:val="21"/>
              </w:rPr>
            </w:pPr>
            <w:r>
              <w:rPr>
                <w:rFonts w:hint="default" w:ascii="Times New Roman" w:hAnsi="Times New Roman" w:cs="Times New Roman"/>
                <w:b/>
                <w:bCs/>
                <w:color w:val="FF0000"/>
                <w:kern w:val="0"/>
                <w:sz w:val="22"/>
                <w:szCs w:val="21"/>
              </w:rPr>
              <w:t>◆第四部分：</w:t>
            </w:r>
            <w:r>
              <w:rPr>
                <w:rFonts w:hint="eastAsia" w:ascii="宋体" w:hAnsi="宋体" w:cs="宋体"/>
                <w:b/>
                <w:bCs/>
                <w:color w:val="000000"/>
                <w:kern w:val="0"/>
                <w:sz w:val="22"/>
                <w:szCs w:val="22"/>
              </w:rPr>
              <w:t>张莹  西北工业大学</w:t>
            </w:r>
          </w:p>
          <w:p>
            <w:pPr>
              <w:widowControl/>
              <w:snapToGrid w:val="0"/>
              <w:spacing w:line="410" w:lineRule="exact"/>
              <w:ind w:firstLine="440" w:firstLineChars="200"/>
              <w:rPr>
                <w:rFonts w:hint="default" w:ascii="Times New Roman" w:hAnsi="Times New Roman" w:cs="Times New Roman"/>
                <w:kern w:val="0"/>
                <w:sz w:val="22"/>
                <w:szCs w:val="21"/>
                <w:lang w:eastAsia="zh-CN"/>
              </w:rPr>
            </w:pPr>
            <w:r>
              <w:rPr>
                <w:rFonts w:hint="default" w:ascii="Times New Roman" w:hAnsi="Times New Roman" w:cs="Times New Roman"/>
                <w:kern w:val="0"/>
                <w:sz w:val="22"/>
                <w:szCs w:val="21"/>
              </w:rPr>
              <w:t>【专家介绍】：</w:t>
            </w:r>
            <w:r>
              <w:rPr>
                <w:rFonts w:hint="eastAsia" w:ascii="宋体" w:hAnsi="宋体" w:cs="宋体"/>
                <w:color w:val="000000"/>
                <w:kern w:val="0"/>
                <w:sz w:val="22"/>
                <w:szCs w:val="22"/>
              </w:rPr>
              <w:t>张莹，教授，西北工业大学数学与统计学院党委副书记 ，中国高等教育学会专委会常务理事、工信部部属高校教师教学发展联盟专家。陕西青年五四奖章、陕西高校十佳辅导员获得者。曾获第二届全国高校教师教学创新大赛部属正高组一等奖、国家级教学成果二等奖、陕西省教育教学奖特等奖、第四届全国高等学校青年教师教学；作为课程负责人获评国家级一流本科课程陕西省首批课程思政示范课程、教育部首批推荐上线爱课程国际平台全英文课程等。</w:t>
            </w:r>
          </w:p>
          <w:p>
            <w:pPr>
              <w:widowControl/>
              <w:snapToGrid w:val="0"/>
              <w:spacing w:line="410" w:lineRule="exact"/>
              <w:ind w:firstLine="440" w:firstLineChars="200"/>
              <w:rPr>
                <w:rFonts w:hint="default" w:ascii="Times New Roman" w:hAnsi="Times New Roman" w:cs="Times New Roman"/>
                <w:kern w:val="0"/>
                <w:sz w:val="22"/>
                <w:szCs w:val="22"/>
                <w:lang w:eastAsia="zh-Hans"/>
              </w:rPr>
            </w:pPr>
            <w:r>
              <w:rPr>
                <w:rFonts w:hint="default" w:ascii="Times New Roman" w:hAnsi="Times New Roman" w:cs="Times New Roman"/>
                <w:kern w:val="0"/>
                <w:sz w:val="22"/>
                <w:szCs w:val="21"/>
                <w:lang w:eastAsia="zh-Hans"/>
              </w:rPr>
              <w:t>【主讲标题】：</w:t>
            </w:r>
            <w:r>
              <w:rPr>
                <w:rFonts w:hint="default" w:ascii="Times New Roman" w:hAnsi="Times New Roman" w:cs="Times New Roman"/>
                <w:color w:val="000000"/>
                <w:kern w:val="0"/>
                <w:sz w:val="22"/>
                <w:szCs w:val="22"/>
              </w:rPr>
              <w:t>数字赋能，思维创新——知识图谱AI助力新形态专业建设与课程教学创新</w:t>
            </w:r>
          </w:p>
          <w:p>
            <w:pPr>
              <w:widowControl/>
              <w:snapToGrid w:val="0"/>
              <w:spacing w:line="380" w:lineRule="exact"/>
              <w:ind w:firstLine="440" w:firstLineChars="200"/>
              <w:rPr>
                <w:rFonts w:hint="eastAsia" w:ascii="Times New Roman" w:hAnsi="Times New Roman" w:eastAsia="宋体" w:cs="Times New Roman"/>
                <w:kern w:val="0"/>
                <w:sz w:val="22"/>
                <w:szCs w:val="21"/>
                <w:lang w:eastAsia="zh-CN"/>
              </w:rPr>
            </w:pPr>
            <w:r>
              <w:rPr>
                <w:rFonts w:hint="default" w:ascii="Times New Roman" w:hAnsi="Times New Roman" w:cs="Times New Roman"/>
                <w:kern w:val="0"/>
                <w:sz w:val="22"/>
                <w:szCs w:val="21"/>
                <w:lang w:eastAsia="zh-Hans"/>
              </w:rPr>
              <w:t>【内容简介】</w:t>
            </w:r>
            <w:r>
              <w:rPr>
                <w:rFonts w:hint="default" w:ascii="Times New Roman" w:hAnsi="Times New Roman" w:cs="Times New Roman"/>
                <w:kern w:val="0"/>
                <w:sz w:val="24"/>
              </w:rPr>
              <w:t>：</w:t>
            </w:r>
            <w:r>
              <w:rPr>
                <w:rFonts w:hint="default" w:ascii="Times New Roman" w:hAnsi="Times New Roman" w:eastAsia="宋体" w:cs="Times New Roman"/>
                <w:kern w:val="0"/>
                <w:sz w:val="22"/>
                <w:szCs w:val="22"/>
              </w:rPr>
              <w:t>1.</w:t>
            </w:r>
            <w:r>
              <w:rPr>
                <w:rFonts w:hint="default" w:ascii="Times New Roman" w:hAnsi="Times New Roman" w:eastAsia="宋体" w:cs="Times New Roman"/>
                <w:color w:val="000000"/>
                <w:kern w:val="0"/>
                <w:sz w:val="22"/>
                <w:szCs w:val="22"/>
              </w:rPr>
              <w:t>知识图谱的教学理论基础</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2.</w:t>
            </w:r>
            <w:r>
              <w:rPr>
                <w:rFonts w:hint="default" w:ascii="Times New Roman" w:hAnsi="Times New Roman" w:eastAsia="宋体" w:cs="Times New Roman"/>
                <w:color w:val="000000"/>
                <w:kern w:val="0"/>
                <w:sz w:val="22"/>
                <w:szCs w:val="22"/>
              </w:rPr>
              <w:t>系统化教学创新模型设计</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3.</w:t>
            </w:r>
            <w:r>
              <w:rPr>
                <w:rFonts w:hint="default" w:ascii="Times New Roman" w:hAnsi="Times New Roman" w:eastAsia="宋体" w:cs="Times New Roman"/>
                <w:color w:val="000000"/>
                <w:kern w:val="0"/>
                <w:sz w:val="22"/>
                <w:szCs w:val="22"/>
              </w:rPr>
              <w:t>基于知识图谱和AI的学情分析与课堂设计</w:t>
            </w:r>
            <w:r>
              <w:rPr>
                <w:rFonts w:hint="default" w:ascii="Times New Roman" w:hAnsi="Times New Roman" w:eastAsia="宋体" w:cs="Times New Roman"/>
                <w:kern w:val="0"/>
                <w:sz w:val="22"/>
                <w:szCs w:val="22"/>
                <w:lang w:eastAsia="zh-CN"/>
              </w:rPr>
              <w:t>；</w:t>
            </w:r>
            <w:r>
              <w:rPr>
                <w:rFonts w:hint="default" w:ascii="Times New Roman" w:hAnsi="Times New Roman" w:eastAsia="宋体" w:cs="Times New Roman"/>
                <w:kern w:val="0"/>
                <w:sz w:val="22"/>
                <w:szCs w:val="22"/>
              </w:rPr>
              <w:t>4.</w:t>
            </w:r>
            <w:r>
              <w:rPr>
                <w:rFonts w:hint="default" w:ascii="Times New Roman" w:hAnsi="Times New Roman" w:eastAsia="宋体" w:cs="Times New Roman"/>
                <w:color w:val="000000"/>
                <w:kern w:val="0"/>
                <w:sz w:val="22"/>
                <w:szCs w:val="22"/>
              </w:rPr>
              <w:t>创新应用案例——基于知识图谱和AI的高等数学混合式教学</w:t>
            </w:r>
            <w:r>
              <w:rPr>
                <w:rFonts w:hint="default" w:ascii="Times New Roman" w:hAnsi="Times New Roman" w:eastAsia="宋体" w:cs="Times New Roman"/>
                <w:color w:val="000000"/>
                <w:kern w:val="0"/>
                <w:sz w:val="22"/>
                <w:szCs w:val="22"/>
                <w:lang w:eastAsia="zh-CN"/>
              </w:rPr>
              <w:t>。</w:t>
            </w:r>
          </w:p>
        </w:tc>
      </w:tr>
    </w:tbl>
    <w:p>
      <w:pPr>
        <w:rPr>
          <w:sz w:val="20"/>
          <w:szCs w:val="21"/>
        </w:rPr>
      </w:pPr>
    </w:p>
    <w:sectPr>
      <w:pgSz w:w="11906" w:h="16838"/>
      <w:pgMar w:top="476" w:right="1179" w:bottom="42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14E41544"/>
    <w:rsid w:val="08692CF0"/>
    <w:rsid w:val="109D0B74"/>
    <w:rsid w:val="13743EE8"/>
    <w:rsid w:val="13A52F9A"/>
    <w:rsid w:val="14E41544"/>
    <w:rsid w:val="16BC4F2D"/>
    <w:rsid w:val="1D115292"/>
    <w:rsid w:val="24854DEF"/>
    <w:rsid w:val="2AC73A26"/>
    <w:rsid w:val="34987FD8"/>
    <w:rsid w:val="37B24AB3"/>
    <w:rsid w:val="3D347EBE"/>
    <w:rsid w:val="4BA82FB4"/>
    <w:rsid w:val="67FE6394"/>
    <w:rsid w:val="69166E19"/>
    <w:rsid w:val="75F16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2023-10-30T02:48:00Z</dcterms:created>
  <dc:creator>Sunlight</dc:creator>
  <cp:lastModifiedBy>Sunlight</cp:lastModifiedBy>
  <dcterms:modified xsi:type="dcterms:W3CDTF">2024-04-16T02:48:23Z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76BF20DCAB4A4AD0973A59293EDE4CF5_11</vt:lpwstr>
  </property>
</Properties>
</file>