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ascii="宋体" w:hAnsi="宋体"/>
          <w:b/>
          <w:sz w:val="32"/>
          <w:szCs w:val="32"/>
        </w:rPr>
        <w:t xml:space="preserve">           </w:t>
      </w: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培训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日程安排</w:t>
      </w:r>
    </w:p>
    <w:p>
      <w:pPr>
        <w:spacing w:line="440" w:lineRule="exact"/>
        <w:jc w:val="center"/>
        <w:rPr>
          <w:rFonts w:hint="default" w:ascii="宋体" w:hAnsi="宋体"/>
          <w:b/>
          <w:sz w:val="32"/>
          <w:szCs w:val="32"/>
          <w:lang w:val="en-US" w:eastAsia="zh-CN"/>
        </w:rPr>
      </w:pPr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1536"/>
        <w:gridCol w:w="682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时间</w:t>
            </w:r>
          </w:p>
        </w:tc>
        <w:tc>
          <w:tcPr>
            <w:tcW w:w="68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内容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00-1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0</w:t>
            </w:r>
          </w:p>
        </w:tc>
        <w:tc>
          <w:tcPr>
            <w:tcW w:w="682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专家讲座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《新时代背景下高校教材出版的新趋势和新要求》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  <w:t>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新形势下高校教材建设工作的发展趋势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  <w:t>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教材编排的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设计思路与教材编写规范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  <w:t>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教材申报编写中需要注意的问题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14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00-1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0</w:t>
            </w:r>
          </w:p>
        </w:tc>
        <w:tc>
          <w:tcPr>
            <w:tcW w:w="682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专家讲座：《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数字化转型背景下的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新形态教材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建设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我国近年来教材建设的国家政策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研读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以具体高校为例谈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教材建设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发展与举措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color w:val="222222"/>
                <w:kern w:val="0"/>
                <w:sz w:val="24"/>
                <w:szCs w:val="24"/>
                <w:shd w:val="clear" w:color="auto" w:fill="FFFFFF"/>
                <w:lang w:eastAsia="zh-Hans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打造新形态教材的意义和方式</w:t>
            </w:r>
          </w:p>
        </w:tc>
        <w:tc>
          <w:tcPr>
            <w:tcW w:w="132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9:00-1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0</w:t>
            </w:r>
          </w:p>
        </w:tc>
        <w:tc>
          <w:tcPr>
            <w:tcW w:w="682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经验分享</w:t>
            </w: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Hans"/>
              </w:rPr>
              <w:t>：《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一流课程背景下的新形态教材建设</w:t>
            </w: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Hans"/>
              </w:rPr>
              <w:t>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课程标准与教材编写指导思想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一流本科课程建设与教材建设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教材开发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团队组建与内容凝练</w:t>
            </w:r>
          </w:p>
        </w:tc>
        <w:tc>
          <w:tcPr>
            <w:tcW w:w="132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14:00-1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:</w:t>
            </w:r>
            <w: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0</w:t>
            </w:r>
          </w:p>
        </w:tc>
        <w:tc>
          <w:tcPr>
            <w:tcW w:w="682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案例分析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Hans"/>
              </w:rPr>
              <w:t>高校专业基础课程教材建设</w:t>
            </w: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Hans"/>
              </w:rPr>
              <w:t>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·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C++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教材建设现状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·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C++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教材建设成果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教材建设在教学改革中的作用</w:t>
            </w:r>
          </w:p>
        </w:tc>
        <w:tc>
          <w:tcPr>
            <w:tcW w:w="132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</w:p>
        </w:tc>
      </w:tr>
    </w:tbl>
    <w:p>
      <w:pPr>
        <w:spacing w:line="360" w:lineRule="auto"/>
        <w:jc w:val="right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最终以实际授课内容为准</w:t>
      </w:r>
    </w:p>
    <w:p/>
    <w:sectPr>
      <w:pgSz w:w="11906" w:h="16838"/>
      <w:pgMar w:top="1157" w:right="1349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NGI3MmViY2RiYjIyOWI5YTVkMWQyZDFiN2RhNGUifQ=="/>
  </w:docVars>
  <w:rsids>
    <w:rsidRoot w:val="7D616353"/>
    <w:rsid w:val="3710208E"/>
    <w:rsid w:val="7378119A"/>
    <w:rsid w:val="7D61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358</Characters>
  <Lines>0</Lines>
  <Paragraphs>0</Paragraphs>
  <TotalTime>1</TotalTime>
  <ScaleCrop>false</ScaleCrop>
  <LinksUpToDate>false</LinksUpToDate>
  <CharactersWithSpaces>369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2023-04-19T00:40:00Z</dcterms:created>
  <dc:creator>张淑英</dc:creator>
  <cp:lastModifiedBy>张淑英</cp:lastModifiedBy>
  <dcterms:modified xsi:type="dcterms:W3CDTF">2023-05-11T02:59:14Z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844E9A6500EA4988A05864539D821AE1</vt:lpwstr>
  </property>
</Properties>
</file>